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9E" w:rsidRDefault="008B449E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</w:p>
    <w:p w:rsidR="00E513AA" w:rsidRDefault="00E513AA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Прицеп СПУТНИК 718201, 718202 изготовлен в соответствии с ТУ </w:t>
      </w:r>
      <w:r w:rsidR="006F2218">
        <w:rPr>
          <w:rFonts w:ascii="Arial" w:hAnsi="Arial" w:cs="Arial"/>
          <w:color w:val="000000"/>
          <w:sz w:val="25"/>
          <w:szCs w:val="25"/>
          <w:shd w:val="clear" w:color="auto" w:fill="FFFFFF"/>
        </w:rPr>
        <w:t>RU 71820000010-2015</w:t>
      </w:r>
    </w:p>
    <w:p w:rsidR="00314EB5" w:rsidRDefault="00E513AA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Прицеп предназначен для перевозки различных грузов.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Масса прицепа, предназначенного для буксировки, не должна превышать технически допустимой массы, установленной изготовителем тягача и половины массы тягача в снаряженном состоянии и, во всех случаях, 750 кг.</w:t>
      </w:r>
    </w:p>
    <w:p w:rsidR="00E513AA" w:rsidRPr="00E513AA" w:rsidRDefault="00E513AA" w:rsidP="00E513AA">
      <w:pPr>
        <w:shd w:val="clear" w:color="auto" w:fill="FFFFFF"/>
        <w:spacing w:after="0" w:line="33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E513AA">
        <w:rPr>
          <w:rFonts w:ascii="inherit" w:eastAsia="Times New Roman" w:hAnsi="inherit" w:cs="Arial"/>
          <w:b/>
          <w:bCs/>
          <w:color w:val="111111"/>
          <w:sz w:val="23"/>
        </w:rPr>
        <w:t>Для буксировки прицепа тягач должен быть оборудован:</w:t>
      </w:r>
    </w:p>
    <w:p w:rsidR="00E513AA" w:rsidRPr="00E513AA" w:rsidRDefault="00E513AA" w:rsidP="00E513AA">
      <w:pPr>
        <w:numPr>
          <w:ilvl w:val="0"/>
          <w:numId w:val="1"/>
        </w:num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E513AA">
        <w:rPr>
          <w:rFonts w:ascii="inherit" w:eastAsia="Times New Roman" w:hAnsi="inherit" w:cs="Arial"/>
          <w:color w:val="111111"/>
          <w:sz w:val="23"/>
          <w:szCs w:val="23"/>
        </w:rPr>
        <w:t xml:space="preserve">Сцепным устройством шарового типа, соответствующим модели тягача и имеющим сертификат соответствия, полученный в установленном порядке. Размеры и расположение тягово-сцепного устройства должны соответствовать требованиям </w:t>
      </w:r>
      <w:proofErr w:type="spellStart"/>
      <w:r w:rsidRPr="00E513AA">
        <w:rPr>
          <w:rFonts w:ascii="inherit" w:eastAsia="Times New Roman" w:hAnsi="inherit" w:cs="Arial"/>
          <w:color w:val="111111"/>
          <w:sz w:val="23"/>
          <w:szCs w:val="23"/>
        </w:rPr>
        <w:t>ТРоБКТС</w:t>
      </w:r>
      <w:proofErr w:type="spellEnd"/>
      <w:r w:rsidRPr="00E513AA">
        <w:rPr>
          <w:rFonts w:ascii="inherit" w:eastAsia="Times New Roman" w:hAnsi="inherit" w:cs="Arial"/>
          <w:color w:val="111111"/>
          <w:sz w:val="23"/>
          <w:szCs w:val="23"/>
        </w:rPr>
        <w:t>.</w:t>
      </w:r>
    </w:p>
    <w:p w:rsidR="00E513AA" w:rsidRPr="00E513AA" w:rsidRDefault="00E513AA" w:rsidP="00E513AA">
      <w:pPr>
        <w:numPr>
          <w:ilvl w:val="0"/>
          <w:numId w:val="1"/>
        </w:num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E513AA">
        <w:rPr>
          <w:rFonts w:ascii="inherit" w:eastAsia="Times New Roman" w:hAnsi="inherit" w:cs="Arial"/>
          <w:color w:val="111111"/>
          <w:sz w:val="23"/>
          <w:szCs w:val="23"/>
        </w:rPr>
        <w:t>Элементами надежного крепления предохранительных цепей.</w:t>
      </w:r>
    </w:p>
    <w:p w:rsidR="00E513AA" w:rsidRDefault="00E513AA" w:rsidP="00E513AA">
      <w:pPr>
        <w:numPr>
          <w:ilvl w:val="0"/>
          <w:numId w:val="1"/>
        </w:num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E513AA">
        <w:rPr>
          <w:rFonts w:ascii="inherit" w:eastAsia="Times New Roman" w:hAnsi="inherit" w:cs="Arial"/>
          <w:color w:val="111111"/>
          <w:sz w:val="23"/>
          <w:szCs w:val="23"/>
        </w:rPr>
        <w:t>Розеткой для подключения электрооборудования прицепа.</w:t>
      </w:r>
    </w:p>
    <w:p w:rsidR="00E513AA" w:rsidRDefault="00E513AA" w:rsidP="00E513AA">
      <w:p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</w:p>
    <w:p w:rsidR="00E513AA" w:rsidRDefault="00E513AA" w:rsidP="00E513AA">
      <w:pPr>
        <w:shd w:val="clear" w:color="auto" w:fill="FFFFFF"/>
        <w:spacing w:after="84" w:line="335" w:lineRule="atLeast"/>
        <w:ind w:left="335"/>
        <w:textAlignment w:val="baseline"/>
        <w:rPr>
          <w:rFonts w:ascii="Arial" w:hAnsi="Arial" w:cs="Arial"/>
          <w:color w:val="111111"/>
          <w:sz w:val="23"/>
          <w:szCs w:val="23"/>
        </w:rPr>
      </w:pPr>
      <w:r w:rsidRPr="00E513AA">
        <w:rPr>
          <w:rFonts w:ascii="Arial" w:hAnsi="Arial" w:cs="Arial"/>
          <w:color w:val="111111"/>
          <w:sz w:val="23"/>
          <w:szCs w:val="23"/>
        </w:rPr>
        <w:t xml:space="preserve">Прицеп </w:t>
      </w:r>
      <w:r>
        <w:rPr>
          <w:rFonts w:ascii="Arial" w:hAnsi="Arial" w:cs="Arial"/>
          <w:color w:val="111111"/>
          <w:sz w:val="23"/>
          <w:szCs w:val="23"/>
        </w:rPr>
        <w:t xml:space="preserve">рассчитан </w:t>
      </w:r>
      <w:r w:rsidRPr="00E513AA">
        <w:rPr>
          <w:rFonts w:ascii="Arial" w:hAnsi="Arial" w:cs="Arial"/>
          <w:color w:val="111111"/>
          <w:sz w:val="23"/>
          <w:szCs w:val="23"/>
        </w:rPr>
        <w:t>на эксплуатацию при температурах окружающего воздуха от минус 40°С до плюс 40°С, при относительной влажности до 80% при плюс 20°С и скорости ветра до 15 м/с. Конструкция прицепа допускает его безгаражное хранение.</w:t>
      </w:r>
      <w:r w:rsidRPr="00E513AA">
        <w:rPr>
          <w:rFonts w:ascii="Arial" w:hAnsi="Arial" w:cs="Arial"/>
          <w:color w:val="111111"/>
          <w:sz w:val="23"/>
          <w:szCs w:val="23"/>
        </w:rPr>
        <w:br/>
      </w:r>
    </w:p>
    <w:p w:rsidR="00E513AA" w:rsidRPr="00E513AA" w:rsidRDefault="00E513AA" w:rsidP="00E513AA">
      <w:p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E513AA">
        <w:rPr>
          <w:rFonts w:ascii="Arial" w:hAnsi="Arial" w:cs="Arial"/>
          <w:color w:val="111111"/>
          <w:sz w:val="23"/>
          <w:szCs w:val="23"/>
        </w:rPr>
        <w:t>Изготовитель постоянно ведет работу по совершенствованию прицепа, поэтому некоторые изменения компонентов прицепа могут быть не отражены в настоящем руководстве.</w:t>
      </w:r>
    </w:p>
    <w:p w:rsidR="00454E7D" w:rsidRPr="00454E7D" w:rsidRDefault="00454E7D" w:rsidP="00454E7D">
      <w:pPr>
        <w:shd w:val="clear" w:color="auto" w:fill="FFFFFF"/>
        <w:spacing w:before="419" w:after="251" w:line="419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111111"/>
          <w:sz w:val="42"/>
          <w:szCs w:val="42"/>
        </w:rPr>
      </w:pPr>
      <w:r w:rsidRPr="00454E7D">
        <w:rPr>
          <w:rFonts w:ascii="Trebuchet MS" w:eastAsia="Times New Roman" w:hAnsi="Trebuchet MS" w:cs="Times New Roman"/>
          <w:b/>
          <w:bCs/>
          <w:color w:val="111111"/>
          <w:sz w:val="42"/>
          <w:szCs w:val="42"/>
        </w:rPr>
        <w:t>Требования безопасности и предупреждения</w:t>
      </w:r>
    </w:p>
    <w:p w:rsidR="00454E7D" w:rsidRPr="00454E7D" w:rsidRDefault="00454E7D" w:rsidP="00454E7D">
      <w:pPr>
        <w:shd w:val="clear" w:color="auto" w:fill="FFFFFF"/>
        <w:spacing w:after="201" w:line="33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454E7D">
        <w:rPr>
          <w:rFonts w:ascii="Arial" w:eastAsia="Times New Roman" w:hAnsi="Arial" w:cs="Arial"/>
          <w:color w:val="111111"/>
          <w:sz w:val="23"/>
          <w:szCs w:val="23"/>
        </w:rPr>
        <w:t>При эксплуатации прицепа запрещается: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перевозить на прицепе людей;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движение автопоезда со скоростью более 70 км/ч на дорогах общего пользования и 90 км/ч на автомагистралях;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движение автопоезда без подключения электрооборудования прицепа к тягачу;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движение автопоезда без надежного крепления предохранительных цепей на тягаче.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оставлять автопоезд или отцепленный прицеп на уклоне, если под колеса прицепа не подложены противооткатные упоры;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движение автопоезда без надежного крепления платформы с дышлом;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движение автопоезда с открытым бортом/бортами прицепа или без бортов;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стоянка прицепа с открытым задним бортом/бортами без выставленного знака аварийной остановки;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перевозить незакреплённый груз;</w:t>
      </w:r>
    </w:p>
    <w:p w:rsidR="00454E7D" w:rsidRPr="00454E7D" w:rsidRDefault="00454E7D" w:rsidP="00454E7D">
      <w:pPr>
        <w:numPr>
          <w:ilvl w:val="0"/>
          <w:numId w:val="2"/>
        </w:numPr>
        <w:shd w:val="clear" w:color="auto" w:fill="FFFFFF"/>
        <w:spacing w:after="84" w:line="335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454E7D">
        <w:rPr>
          <w:rFonts w:ascii="inherit" w:eastAsia="Times New Roman" w:hAnsi="inherit" w:cs="Arial"/>
          <w:color w:val="111111"/>
          <w:sz w:val="23"/>
          <w:szCs w:val="23"/>
        </w:rPr>
        <w:t>нагружать прицеп грузом, масса которого превышает значение, указанное в таблице настоящего руководства;</w:t>
      </w:r>
    </w:p>
    <w:p w:rsidR="00454E7D" w:rsidRPr="00454E7D" w:rsidRDefault="00454E7D" w:rsidP="00454E7D">
      <w:pPr>
        <w:shd w:val="clear" w:color="auto" w:fill="FFFFFF"/>
        <w:spacing w:after="201" w:line="335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454E7D">
        <w:rPr>
          <w:rFonts w:ascii="Arial" w:eastAsia="Times New Roman" w:hAnsi="Arial" w:cs="Arial"/>
          <w:color w:val="111111"/>
          <w:sz w:val="23"/>
          <w:szCs w:val="23"/>
        </w:rPr>
        <w:t>Изготовитель не несет ответственность за безопасность и надежность работы прицепа при внесении третьими лицами изменений в конструкцию прицепа.</w:t>
      </w:r>
    </w:p>
    <w:p w:rsidR="004D6B61" w:rsidRPr="004D6B61" w:rsidRDefault="00DF22A9" w:rsidP="00DF22A9">
      <w:pPr>
        <w:pStyle w:val="2"/>
        <w:shd w:val="clear" w:color="auto" w:fill="FFFFFF"/>
        <w:spacing w:before="419" w:beforeAutospacing="0" w:after="251" w:afterAutospacing="0" w:line="419" w:lineRule="atLeast"/>
        <w:textAlignment w:val="baseline"/>
        <w:rPr>
          <w:rFonts w:ascii="Trebuchet MS" w:hAnsi="Trebuchet MS"/>
          <w:color w:val="111111"/>
          <w:sz w:val="42"/>
          <w:szCs w:val="42"/>
        </w:rPr>
      </w:pPr>
      <w:r>
        <w:rPr>
          <w:rFonts w:ascii="Trebuchet MS" w:hAnsi="Trebuchet MS"/>
          <w:color w:val="111111"/>
          <w:sz w:val="42"/>
          <w:szCs w:val="42"/>
        </w:rPr>
        <w:lastRenderedPageBreak/>
        <w:t>Технические характеристики прицепов СПУТНИК</w:t>
      </w:r>
    </w:p>
    <w:p w:rsidR="004D6B61" w:rsidRPr="004D6B61" w:rsidRDefault="00AE330F" w:rsidP="004D6B61">
      <w:pPr>
        <w:pStyle w:val="2"/>
        <w:shd w:val="clear" w:color="auto" w:fill="FFFFFF"/>
        <w:spacing w:before="419" w:beforeAutospacing="0" w:after="251" w:afterAutospacing="0" w:line="419" w:lineRule="atLeast"/>
        <w:jc w:val="center"/>
        <w:textAlignment w:val="baseline"/>
        <w:rPr>
          <w:rFonts w:ascii="Trebuchet MS" w:hAnsi="Trebuchet MS"/>
          <w:color w:val="111111"/>
          <w:sz w:val="22"/>
          <w:szCs w:val="22"/>
        </w:rPr>
      </w:pPr>
      <w:r>
        <w:rPr>
          <w:rFonts w:ascii="Trebuchet MS" w:hAnsi="Trebuchet MS"/>
          <w:color w:val="111111"/>
          <w:sz w:val="24"/>
          <w:szCs w:val="24"/>
        </w:rPr>
        <w:t xml:space="preserve">Модификация </w:t>
      </w:r>
      <w:r>
        <w:rPr>
          <w:rFonts w:ascii="Trebuchet MS" w:hAnsi="Trebuchet MS"/>
          <w:color w:val="111111"/>
          <w:sz w:val="22"/>
          <w:szCs w:val="22"/>
        </w:rPr>
        <w:t xml:space="preserve">718201 </w:t>
      </w:r>
      <w:r w:rsidR="004D6B61">
        <w:rPr>
          <w:rFonts w:ascii="Trebuchet MS" w:hAnsi="Trebuchet MS"/>
          <w:color w:val="111111"/>
          <w:sz w:val="22"/>
          <w:szCs w:val="22"/>
        </w:rPr>
        <w:t xml:space="preserve">Вариант 1 </w:t>
      </w: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F22A9" w:rsidTr="007C664D">
        <w:tc>
          <w:tcPr>
            <w:tcW w:w="2136" w:type="dxa"/>
          </w:tcPr>
          <w:p w:rsidR="00DF22A9" w:rsidRPr="0024797B" w:rsidRDefault="00DF22A9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2136" w:type="dxa"/>
          </w:tcPr>
          <w:p w:rsidR="00DF22A9" w:rsidRPr="0024797B" w:rsidRDefault="00DF22A9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136" w:type="dxa"/>
          </w:tcPr>
          <w:p w:rsidR="00DF22A9" w:rsidRPr="0024797B" w:rsidRDefault="00DF22A9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2137" w:type="dxa"/>
          </w:tcPr>
          <w:p w:rsidR="00DF22A9" w:rsidRPr="0024797B" w:rsidRDefault="00DF22A9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2137" w:type="dxa"/>
          </w:tcPr>
          <w:p w:rsidR="00DF22A9" w:rsidRPr="0024797B" w:rsidRDefault="00DF22A9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DF22A9" w:rsidTr="007C664D">
        <w:tc>
          <w:tcPr>
            <w:tcW w:w="2136" w:type="dxa"/>
          </w:tcPr>
          <w:p w:rsidR="00DF22A9" w:rsidRDefault="00DF22A9" w:rsidP="007C664D">
            <w:pPr>
              <w:jc w:val="center"/>
              <w:rPr>
                <w:b/>
              </w:rPr>
            </w:pPr>
            <w:r>
              <w:rPr>
                <w:b/>
              </w:rPr>
              <w:t>от 2600мм  до 7000мм</w:t>
            </w:r>
          </w:p>
        </w:tc>
        <w:tc>
          <w:tcPr>
            <w:tcW w:w="2136" w:type="dxa"/>
          </w:tcPr>
          <w:p w:rsidR="00DF22A9" w:rsidRDefault="00DF22A9" w:rsidP="007C664D">
            <w:pPr>
              <w:jc w:val="center"/>
              <w:rPr>
                <w:b/>
              </w:rPr>
            </w:pPr>
            <w:r>
              <w:rPr>
                <w:b/>
              </w:rPr>
              <w:t>от 1800мм до 4500мм</w:t>
            </w:r>
          </w:p>
        </w:tc>
        <w:tc>
          <w:tcPr>
            <w:tcW w:w="2136" w:type="dxa"/>
          </w:tcPr>
          <w:p w:rsidR="00DF22A9" w:rsidRPr="00650968" w:rsidRDefault="00DF22A9" w:rsidP="007C664D">
            <w:pPr>
              <w:jc w:val="center"/>
              <w:rPr>
                <w:b/>
              </w:rPr>
            </w:pPr>
            <w:r>
              <w:rPr>
                <w:b/>
              </w:rPr>
              <w:t>от 1500мм до 2200мм</w:t>
            </w:r>
          </w:p>
        </w:tc>
        <w:tc>
          <w:tcPr>
            <w:tcW w:w="2137" w:type="dxa"/>
          </w:tcPr>
          <w:p w:rsidR="00DF22A9" w:rsidRDefault="00DF22A9" w:rsidP="007C664D">
            <w:pPr>
              <w:jc w:val="center"/>
              <w:rPr>
                <w:b/>
              </w:rPr>
            </w:pPr>
            <w:r>
              <w:rPr>
                <w:b/>
              </w:rPr>
              <w:t>от 1400мм до 2100мм</w:t>
            </w:r>
          </w:p>
        </w:tc>
        <w:tc>
          <w:tcPr>
            <w:tcW w:w="2137" w:type="dxa"/>
          </w:tcPr>
          <w:p w:rsidR="00DF22A9" w:rsidRDefault="00DF22A9" w:rsidP="007C664D">
            <w:pPr>
              <w:jc w:val="center"/>
              <w:rPr>
                <w:b/>
              </w:rPr>
            </w:pPr>
            <w:r>
              <w:rPr>
                <w:b/>
              </w:rPr>
              <w:t>от 700мм до 1400мм</w:t>
            </w:r>
          </w:p>
        </w:tc>
      </w:tr>
    </w:tbl>
    <w:p w:rsidR="00DF22A9" w:rsidRPr="008F4F5A" w:rsidRDefault="00DF22A9" w:rsidP="00DF22A9">
      <w:pPr>
        <w:pStyle w:val="2"/>
        <w:shd w:val="clear" w:color="auto" w:fill="FFFFFF"/>
        <w:spacing w:before="419" w:beforeAutospacing="0" w:after="251" w:afterAutospacing="0" w:line="419" w:lineRule="atLeast"/>
        <w:textAlignment w:val="baseline"/>
        <w:rPr>
          <w:rFonts w:ascii="Trebuchet MS" w:hAnsi="Trebuchet MS"/>
          <w:color w:val="111111"/>
          <w:sz w:val="28"/>
          <w:szCs w:val="28"/>
        </w:rPr>
      </w:pPr>
    </w:p>
    <w:p w:rsidR="00DF22A9" w:rsidRDefault="00DF22A9" w:rsidP="00DF22A9">
      <w:pPr>
        <w:pStyle w:val="2"/>
        <w:shd w:val="clear" w:color="auto" w:fill="FFFFFF"/>
        <w:spacing w:before="419" w:beforeAutospacing="0" w:after="251" w:afterAutospacing="0" w:line="419" w:lineRule="atLeast"/>
        <w:textAlignment w:val="baseline"/>
        <w:rPr>
          <w:rFonts w:ascii="Trebuchet MS" w:hAnsi="Trebuchet MS"/>
          <w:color w:val="111111"/>
          <w:sz w:val="42"/>
          <w:szCs w:val="42"/>
        </w:rPr>
      </w:pPr>
      <w:r w:rsidRPr="00DF22A9">
        <w:rPr>
          <w:rFonts w:ascii="Trebuchet MS" w:hAnsi="Trebuchet MS"/>
          <w:noProof/>
          <w:color w:val="111111"/>
          <w:sz w:val="42"/>
          <w:szCs w:val="42"/>
        </w:rPr>
        <w:drawing>
          <wp:inline distT="0" distB="0" distL="0" distR="0">
            <wp:extent cx="6524625" cy="16859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C2" w:rsidRDefault="00AE330F" w:rsidP="004D6B61">
      <w:pPr>
        <w:pStyle w:val="2"/>
        <w:shd w:val="clear" w:color="auto" w:fill="FFFFFF"/>
        <w:spacing w:before="419" w:beforeAutospacing="0" w:after="251" w:afterAutospacing="0" w:line="419" w:lineRule="atLeast"/>
        <w:jc w:val="center"/>
        <w:textAlignment w:val="baseline"/>
        <w:rPr>
          <w:rFonts w:ascii="Trebuchet MS" w:hAnsi="Trebuchet MS"/>
          <w:color w:val="111111"/>
          <w:sz w:val="24"/>
          <w:szCs w:val="24"/>
        </w:rPr>
      </w:pPr>
      <w:r>
        <w:rPr>
          <w:rFonts w:ascii="Trebuchet MS" w:hAnsi="Trebuchet MS"/>
          <w:color w:val="111111"/>
          <w:sz w:val="24"/>
          <w:szCs w:val="24"/>
        </w:rPr>
        <w:t>Модификация 718201 В</w:t>
      </w:r>
      <w:r w:rsidR="00010FC2">
        <w:rPr>
          <w:rFonts w:ascii="Trebuchet MS" w:hAnsi="Trebuchet MS"/>
          <w:color w:val="111111"/>
          <w:sz w:val="24"/>
          <w:szCs w:val="24"/>
        </w:rPr>
        <w:t>ариант 2</w:t>
      </w:r>
      <w:r w:rsidR="004D6B61">
        <w:rPr>
          <w:rFonts w:ascii="Trebuchet MS" w:hAnsi="Trebuchet MS"/>
          <w:color w:val="111111"/>
          <w:sz w:val="24"/>
          <w:szCs w:val="24"/>
        </w:rPr>
        <w:t xml:space="preserve"> </w:t>
      </w:r>
    </w:p>
    <w:p w:rsidR="004D6B61" w:rsidRPr="00FE5CA5" w:rsidRDefault="004D6B61" w:rsidP="004D6B61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4D6B61" w:rsidTr="0028500A">
        <w:tc>
          <w:tcPr>
            <w:tcW w:w="2136" w:type="dxa"/>
          </w:tcPr>
          <w:p w:rsidR="004D6B61" w:rsidRPr="0024797B" w:rsidRDefault="004D6B61" w:rsidP="002850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2136" w:type="dxa"/>
          </w:tcPr>
          <w:p w:rsidR="004D6B61" w:rsidRPr="0024797B" w:rsidRDefault="004D6B61" w:rsidP="002850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136" w:type="dxa"/>
          </w:tcPr>
          <w:p w:rsidR="004D6B61" w:rsidRPr="0024797B" w:rsidRDefault="004D6B61" w:rsidP="002850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2137" w:type="dxa"/>
          </w:tcPr>
          <w:p w:rsidR="004D6B61" w:rsidRPr="0024797B" w:rsidRDefault="004D6B61" w:rsidP="002850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2137" w:type="dxa"/>
          </w:tcPr>
          <w:p w:rsidR="004D6B61" w:rsidRPr="0024797B" w:rsidRDefault="004D6B61" w:rsidP="002850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4D6B61" w:rsidTr="0028500A">
        <w:tc>
          <w:tcPr>
            <w:tcW w:w="2136" w:type="dxa"/>
          </w:tcPr>
          <w:p w:rsidR="004D6B61" w:rsidRDefault="004D6B61" w:rsidP="0028500A">
            <w:pPr>
              <w:jc w:val="center"/>
              <w:rPr>
                <w:b/>
              </w:rPr>
            </w:pPr>
            <w:r>
              <w:rPr>
                <w:b/>
              </w:rPr>
              <w:t>от 2600мм  до 7000мм</w:t>
            </w:r>
          </w:p>
        </w:tc>
        <w:tc>
          <w:tcPr>
            <w:tcW w:w="2136" w:type="dxa"/>
          </w:tcPr>
          <w:p w:rsidR="004D6B61" w:rsidRDefault="004D6B61" w:rsidP="0028500A">
            <w:pPr>
              <w:jc w:val="center"/>
              <w:rPr>
                <w:b/>
              </w:rPr>
            </w:pPr>
            <w:r>
              <w:rPr>
                <w:b/>
              </w:rPr>
              <w:t>от 1800мм до 4500мм</w:t>
            </w:r>
          </w:p>
        </w:tc>
        <w:tc>
          <w:tcPr>
            <w:tcW w:w="2136" w:type="dxa"/>
          </w:tcPr>
          <w:p w:rsidR="004D6B61" w:rsidRPr="00650968" w:rsidRDefault="004D6B61" w:rsidP="0028500A">
            <w:pPr>
              <w:jc w:val="center"/>
              <w:rPr>
                <w:b/>
              </w:rPr>
            </w:pPr>
            <w:r>
              <w:rPr>
                <w:b/>
              </w:rPr>
              <w:t>от 1500мм до 2200мм</w:t>
            </w:r>
          </w:p>
        </w:tc>
        <w:tc>
          <w:tcPr>
            <w:tcW w:w="2137" w:type="dxa"/>
          </w:tcPr>
          <w:p w:rsidR="004D6B61" w:rsidRDefault="004D6B61" w:rsidP="0028500A">
            <w:pPr>
              <w:jc w:val="center"/>
              <w:rPr>
                <w:b/>
              </w:rPr>
            </w:pPr>
            <w:r>
              <w:rPr>
                <w:b/>
              </w:rPr>
              <w:t>от 1400мм до 2100мм</w:t>
            </w:r>
          </w:p>
        </w:tc>
        <w:tc>
          <w:tcPr>
            <w:tcW w:w="2137" w:type="dxa"/>
          </w:tcPr>
          <w:p w:rsidR="004D6B61" w:rsidRDefault="004D6B61" w:rsidP="0028500A">
            <w:pPr>
              <w:jc w:val="center"/>
              <w:rPr>
                <w:b/>
              </w:rPr>
            </w:pPr>
            <w:r>
              <w:rPr>
                <w:b/>
              </w:rPr>
              <w:t>от 800мм до 2200мм</w:t>
            </w:r>
          </w:p>
        </w:tc>
      </w:tr>
    </w:tbl>
    <w:p w:rsidR="004D6B61" w:rsidRPr="004D6B61" w:rsidRDefault="004D6B61" w:rsidP="00DF22A9">
      <w:pPr>
        <w:pStyle w:val="2"/>
        <w:shd w:val="clear" w:color="auto" w:fill="FFFFFF"/>
        <w:spacing w:before="419" w:beforeAutospacing="0" w:after="251" w:afterAutospacing="0" w:line="419" w:lineRule="atLeast"/>
        <w:textAlignment w:val="baseline"/>
        <w:rPr>
          <w:rFonts w:ascii="Trebuchet MS" w:hAnsi="Trebuchet MS"/>
          <w:color w:val="111111"/>
          <w:sz w:val="16"/>
          <w:szCs w:val="16"/>
        </w:rPr>
      </w:pPr>
    </w:p>
    <w:p w:rsidR="004D6B61" w:rsidRDefault="004D6B61" w:rsidP="00DF22A9">
      <w:pPr>
        <w:pStyle w:val="2"/>
        <w:shd w:val="clear" w:color="auto" w:fill="FFFFFF"/>
        <w:spacing w:before="419" w:beforeAutospacing="0" w:after="251" w:afterAutospacing="0" w:line="419" w:lineRule="atLeast"/>
        <w:textAlignment w:val="baseline"/>
        <w:rPr>
          <w:rFonts w:ascii="Trebuchet MS" w:hAnsi="Trebuchet MS"/>
          <w:color w:val="111111"/>
          <w:sz w:val="24"/>
          <w:szCs w:val="24"/>
        </w:rPr>
      </w:pPr>
      <w:r w:rsidRPr="004D6B61">
        <w:rPr>
          <w:rFonts w:ascii="Trebuchet MS" w:hAnsi="Trebuchet MS"/>
          <w:noProof/>
          <w:color w:val="111111"/>
          <w:sz w:val="24"/>
          <w:szCs w:val="24"/>
        </w:rPr>
        <w:drawing>
          <wp:inline distT="0" distB="0" distL="0" distR="0">
            <wp:extent cx="6369833" cy="219825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33" cy="219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30F" w:rsidRDefault="00AE330F" w:rsidP="004D6B61">
      <w:pPr>
        <w:pStyle w:val="2"/>
        <w:shd w:val="clear" w:color="auto" w:fill="FFFFFF"/>
        <w:spacing w:before="419" w:beforeAutospacing="0" w:after="251" w:afterAutospacing="0" w:line="419" w:lineRule="atLeast"/>
        <w:jc w:val="center"/>
        <w:textAlignment w:val="baseline"/>
        <w:rPr>
          <w:rFonts w:ascii="Trebuchet MS" w:hAnsi="Trebuchet MS"/>
          <w:color w:val="111111"/>
          <w:sz w:val="24"/>
          <w:szCs w:val="24"/>
        </w:rPr>
      </w:pPr>
    </w:p>
    <w:p w:rsidR="00AE330F" w:rsidRDefault="00AE330F" w:rsidP="004D6B61">
      <w:pPr>
        <w:pStyle w:val="2"/>
        <w:shd w:val="clear" w:color="auto" w:fill="FFFFFF"/>
        <w:spacing w:before="419" w:beforeAutospacing="0" w:after="251" w:afterAutospacing="0" w:line="419" w:lineRule="atLeast"/>
        <w:jc w:val="center"/>
        <w:textAlignment w:val="baseline"/>
        <w:rPr>
          <w:rFonts w:ascii="Trebuchet MS" w:hAnsi="Trebuchet MS"/>
          <w:color w:val="111111"/>
          <w:sz w:val="24"/>
          <w:szCs w:val="24"/>
        </w:rPr>
      </w:pPr>
    </w:p>
    <w:p w:rsidR="004D6B61" w:rsidRPr="00010FC2" w:rsidRDefault="00AE330F" w:rsidP="004D6B61">
      <w:pPr>
        <w:pStyle w:val="2"/>
        <w:shd w:val="clear" w:color="auto" w:fill="FFFFFF"/>
        <w:spacing w:before="419" w:beforeAutospacing="0" w:after="251" w:afterAutospacing="0" w:line="419" w:lineRule="atLeast"/>
        <w:jc w:val="center"/>
        <w:textAlignment w:val="baseline"/>
        <w:rPr>
          <w:rFonts w:ascii="Trebuchet MS" w:hAnsi="Trebuchet MS"/>
          <w:color w:val="111111"/>
          <w:sz w:val="24"/>
          <w:szCs w:val="24"/>
        </w:rPr>
      </w:pPr>
      <w:r>
        <w:rPr>
          <w:rFonts w:ascii="Trebuchet MS" w:hAnsi="Trebuchet MS"/>
          <w:color w:val="111111"/>
          <w:sz w:val="24"/>
          <w:szCs w:val="24"/>
        </w:rPr>
        <w:lastRenderedPageBreak/>
        <w:t xml:space="preserve">Модификация </w:t>
      </w:r>
      <w:r w:rsidR="004D6B61">
        <w:rPr>
          <w:rFonts w:ascii="Trebuchet MS" w:hAnsi="Trebuchet MS"/>
          <w:color w:val="111111"/>
          <w:sz w:val="24"/>
          <w:szCs w:val="24"/>
        </w:rPr>
        <w:t>718202</w:t>
      </w: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8F4F5A" w:rsidTr="007C664D">
        <w:tc>
          <w:tcPr>
            <w:tcW w:w="2136" w:type="dxa"/>
          </w:tcPr>
          <w:p w:rsidR="008F4F5A" w:rsidRPr="0024797B" w:rsidRDefault="008F4F5A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2136" w:type="dxa"/>
          </w:tcPr>
          <w:p w:rsidR="008F4F5A" w:rsidRPr="0024797B" w:rsidRDefault="008F4F5A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136" w:type="dxa"/>
          </w:tcPr>
          <w:p w:rsidR="008F4F5A" w:rsidRPr="0024797B" w:rsidRDefault="008F4F5A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2137" w:type="dxa"/>
          </w:tcPr>
          <w:p w:rsidR="008F4F5A" w:rsidRPr="0024797B" w:rsidRDefault="008F4F5A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2137" w:type="dxa"/>
          </w:tcPr>
          <w:p w:rsidR="008F4F5A" w:rsidRPr="0024797B" w:rsidRDefault="008F4F5A" w:rsidP="007C66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</w:tr>
      <w:tr w:rsidR="008F4F5A" w:rsidTr="007C664D">
        <w:tc>
          <w:tcPr>
            <w:tcW w:w="2136" w:type="dxa"/>
          </w:tcPr>
          <w:p w:rsidR="008F4F5A" w:rsidRDefault="004D6B61" w:rsidP="007C664D">
            <w:pPr>
              <w:jc w:val="center"/>
              <w:rPr>
                <w:b/>
              </w:rPr>
            </w:pPr>
            <w:r>
              <w:rPr>
                <w:b/>
              </w:rPr>
              <w:t>от 1500мм  до 22</w:t>
            </w:r>
            <w:r w:rsidR="008F4F5A">
              <w:rPr>
                <w:b/>
              </w:rPr>
              <w:t>00мм</w:t>
            </w:r>
          </w:p>
        </w:tc>
        <w:tc>
          <w:tcPr>
            <w:tcW w:w="2136" w:type="dxa"/>
          </w:tcPr>
          <w:p w:rsidR="008F4F5A" w:rsidRDefault="004D6B61" w:rsidP="007C664D">
            <w:pPr>
              <w:jc w:val="center"/>
              <w:rPr>
                <w:b/>
              </w:rPr>
            </w:pPr>
            <w:r>
              <w:rPr>
                <w:b/>
              </w:rPr>
              <w:t>от 1400мм до 2</w:t>
            </w:r>
            <w:r w:rsidR="008F4F5A">
              <w:rPr>
                <w:b/>
              </w:rPr>
              <w:t>0</w:t>
            </w:r>
            <w:r>
              <w:rPr>
                <w:b/>
              </w:rPr>
              <w:t>5</w:t>
            </w:r>
            <w:r w:rsidR="008F4F5A">
              <w:rPr>
                <w:b/>
              </w:rPr>
              <w:t>0мм</w:t>
            </w:r>
          </w:p>
        </w:tc>
        <w:tc>
          <w:tcPr>
            <w:tcW w:w="2136" w:type="dxa"/>
          </w:tcPr>
          <w:p w:rsidR="008F4F5A" w:rsidRPr="00650968" w:rsidRDefault="004D6B61" w:rsidP="007C664D">
            <w:pPr>
              <w:jc w:val="center"/>
              <w:rPr>
                <w:b/>
              </w:rPr>
            </w:pPr>
            <w:r>
              <w:rPr>
                <w:b/>
              </w:rPr>
              <w:t>от 1900мм до 49</w:t>
            </w:r>
            <w:r w:rsidR="008F4F5A">
              <w:rPr>
                <w:b/>
              </w:rPr>
              <w:t>00мм</w:t>
            </w:r>
          </w:p>
        </w:tc>
        <w:tc>
          <w:tcPr>
            <w:tcW w:w="2137" w:type="dxa"/>
          </w:tcPr>
          <w:p w:rsidR="008F4F5A" w:rsidRDefault="004D6B61" w:rsidP="007C664D">
            <w:pPr>
              <w:jc w:val="center"/>
              <w:rPr>
                <w:b/>
              </w:rPr>
            </w:pPr>
            <w:r>
              <w:rPr>
                <w:b/>
              </w:rPr>
              <w:t>от 900мм до 13</w:t>
            </w:r>
            <w:r w:rsidR="008F4F5A">
              <w:rPr>
                <w:b/>
              </w:rPr>
              <w:t>00мм</w:t>
            </w:r>
          </w:p>
        </w:tc>
        <w:tc>
          <w:tcPr>
            <w:tcW w:w="2137" w:type="dxa"/>
          </w:tcPr>
          <w:p w:rsidR="008F4F5A" w:rsidRDefault="004D6B61" w:rsidP="007C664D">
            <w:pPr>
              <w:jc w:val="center"/>
              <w:rPr>
                <w:b/>
              </w:rPr>
            </w:pPr>
            <w:r>
              <w:rPr>
                <w:b/>
              </w:rPr>
              <w:t>от 3000мм до 60</w:t>
            </w:r>
            <w:r w:rsidR="008F4F5A">
              <w:rPr>
                <w:b/>
              </w:rPr>
              <w:t>00мм</w:t>
            </w:r>
          </w:p>
        </w:tc>
      </w:tr>
    </w:tbl>
    <w:p w:rsidR="002327F1" w:rsidRPr="00AE330F" w:rsidRDefault="00950161" w:rsidP="00AE330F">
      <w:pPr>
        <w:pStyle w:val="2"/>
        <w:shd w:val="clear" w:color="auto" w:fill="FFFFFF"/>
        <w:spacing w:before="419" w:beforeAutospacing="0" w:after="251" w:afterAutospacing="0" w:line="419" w:lineRule="atLeast"/>
        <w:textAlignment w:val="baseline"/>
        <w:rPr>
          <w:rFonts w:ascii="Trebuchet MS" w:hAnsi="Trebuchet MS"/>
          <w:color w:val="111111"/>
          <w:sz w:val="42"/>
          <w:szCs w:val="42"/>
        </w:rPr>
      </w:pPr>
      <w:r>
        <w:rPr>
          <w:noProof/>
          <w:sz w:val="28"/>
        </w:rPr>
        <w:drawing>
          <wp:inline distT="0" distB="0" distL="0" distR="0">
            <wp:extent cx="5943600" cy="3136900"/>
            <wp:effectExtent l="19050" t="0" r="0" b="0"/>
            <wp:docPr id="2" name="Рисунок 3" descr="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61" w:rsidRDefault="00950161" w:rsidP="00950161">
      <w:pPr>
        <w:pStyle w:val="3"/>
        <w:shd w:val="clear" w:color="auto" w:fill="FFFFFF"/>
        <w:spacing w:before="335" w:after="251" w:line="352" w:lineRule="atLeast"/>
        <w:textAlignment w:val="baseline"/>
        <w:rPr>
          <w:rFonts w:ascii="Trebuchet MS" w:hAnsi="Trebuchet MS"/>
          <w:color w:val="111111"/>
          <w:sz w:val="35"/>
          <w:szCs w:val="35"/>
        </w:rPr>
      </w:pPr>
      <w:r>
        <w:rPr>
          <w:rFonts w:ascii="Trebuchet MS" w:hAnsi="Trebuchet MS"/>
          <w:color w:val="111111"/>
          <w:sz w:val="35"/>
          <w:szCs w:val="35"/>
        </w:rPr>
        <w:t>Подвеска</w:t>
      </w:r>
    </w:p>
    <w:p w:rsidR="008F4F5A" w:rsidRDefault="00950161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На прицепах СПУТНИК 718201, 718202 установлена рессорная подвеска.</w:t>
      </w:r>
    </w:p>
    <w:p w:rsidR="00950161" w:rsidRDefault="00950161" w:rsidP="00950161">
      <w:pPr>
        <w:pStyle w:val="3"/>
        <w:shd w:val="clear" w:color="auto" w:fill="FFFFFF"/>
        <w:spacing w:before="335" w:after="251" w:line="352" w:lineRule="atLeast"/>
        <w:textAlignment w:val="baseline"/>
        <w:rPr>
          <w:rFonts w:ascii="Trebuchet MS" w:hAnsi="Trebuchet MS"/>
          <w:color w:val="111111"/>
          <w:sz w:val="35"/>
          <w:szCs w:val="35"/>
        </w:rPr>
      </w:pPr>
      <w:r>
        <w:rPr>
          <w:rFonts w:ascii="Trebuchet MS" w:hAnsi="Trebuchet MS"/>
          <w:color w:val="111111"/>
          <w:sz w:val="35"/>
          <w:szCs w:val="35"/>
        </w:rPr>
        <w:t>Рессорная подвеска</w:t>
      </w:r>
    </w:p>
    <w:p w:rsidR="00950161" w:rsidRDefault="00950161" w:rsidP="0095016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Подвеска — рессорная, зависимая с двумя продольными полуэллиптическими многолистовыми рессорами, работающими совместно с гидравлическими амортизаторами телескопического типа двухстороннего действия.</w:t>
      </w:r>
    </w:p>
    <w:p w:rsidR="00950161" w:rsidRDefault="00950161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Ось подвески болтами крепится к рессорам, установленным на кронштейнах опоры. Подвеска своими опорами при помощи болтов крепится к платформе прицепа.</w:t>
      </w:r>
    </w:p>
    <w:p w:rsidR="002327F1" w:rsidRDefault="002327F1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2327F1">
        <w:rPr>
          <w:rFonts w:ascii="Arial" w:hAnsi="Arial" w:cs="Arial"/>
          <w:noProof/>
          <w:color w:val="111111"/>
          <w:sz w:val="23"/>
          <w:szCs w:val="23"/>
          <w:shd w:val="clear" w:color="auto" w:fill="FFFFFF"/>
        </w:rPr>
        <w:drawing>
          <wp:inline distT="0" distB="0" distL="0" distR="0">
            <wp:extent cx="3319573" cy="272381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29" cy="27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161" w:rsidRDefault="00950161" w:rsidP="00950161">
      <w:pPr>
        <w:pStyle w:val="3"/>
        <w:shd w:val="clear" w:color="auto" w:fill="FFFFFF"/>
        <w:spacing w:before="335" w:after="251" w:line="352" w:lineRule="atLeast"/>
        <w:textAlignment w:val="baseline"/>
        <w:rPr>
          <w:rFonts w:ascii="Trebuchet MS" w:hAnsi="Trebuchet MS"/>
          <w:color w:val="111111"/>
          <w:sz w:val="35"/>
          <w:szCs w:val="35"/>
        </w:rPr>
      </w:pPr>
      <w:r>
        <w:rPr>
          <w:rFonts w:ascii="Trebuchet MS" w:hAnsi="Trebuchet MS"/>
          <w:color w:val="111111"/>
          <w:sz w:val="35"/>
          <w:szCs w:val="35"/>
        </w:rPr>
        <w:lastRenderedPageBreak/>
        <w:t>Сцепная головка</w:t>
      </w:r>
    </w:p>
    <w:p w:rsidR="00950161" w:rsidRDefault="00950161" w:rsidP="0095016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Сцепная головка, соответствующая требованиям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ТРоБКТС</w:t>
      </w:r>
      <w:proofErr w:type="spellEnd"/>
      <w:r>
        <w:rPr>
          <w:rFonts w:ascii="Arial" w:hAnsi="Arial" w:cs="Arial"/>
          <w:color w:val="111111"/>
          <w:sz w:val="23"/>
          <w:szCs w:val="23"/>
        </w:rPr>
        <w:t>, предназначена для соединения прицепа с буксирной шаровой опорой сцепного устройства тягача. В корпусе сцепной головки имеется сферическое углубление, в которое должен входить шаровой наконечник сцепного устройства при сцепке прицепа с сцепным устройством тягача.</w:t>
      </w:r>
    </w:p>
    <w:p w:rsidR="00863864" w:rsidRDefault="00950161" w:rsidP="00863864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proofErr w:type="spellStart"/>
      <w:r>
        <w:rPr>
          <w:rFonts w:ascii="Arial" w:hAnsi="Arial" w:cs="Arial"/>
          <w:color w:val="111111"/>
          <w:sz w:val="23"/>
          <w:szCs w:val="23"/>
        </w:rPr>
        <w:t>Беззазорная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сцепка обеспечивается подвижным сухарем, закрепленным на оси и упирающимся в выступ рукоятки. Для исключения самопроизвольной расцепки автопоезда на рукоятке предусмотрена подпружиненная кнопка, упирающаяся в выступ на корпусе сцепной головки.</w:t>
      </w:r>
    </w:p>
    <w:p w:rsidR="00950161" w:rsidRPr="00863864" w:rsidRDefault="00950161" w:rsidP="00863864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Trebuchet MS" w:hAnsi="Trebuchet MS"/>
          <w:color w:val="111111"/>
          <w:sz w:val="35"/>
          <w:szCs w:val="35"/>
        </w:rPr>
        <w:t>Дополнительное оборудование</w:t>
      </w:r>
    </w:p>
    <w:p w:rsidR="00950161" w:rsidRDefault="00950161" w:rsidP="00950161">
      <w:pPr>
        <w:numPr>
          <w:ilvl w:val="0"/>
          <w:numId w:val="4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Кронштейн запасного колеса предназначен для транспортировки запасного колеса прицепа в процессе эксплуатации.</w:t>
      </w:r>
    </w:p>
    <w:p w:rsidR="00950161" w:rsidRDefault="00950161" w:rsidP="00950161">
      <w:pPr>
        <w:numPr>
          <w:ilvl w:val="0"/>
          <w:numId w:val="4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Тент и каркас предназначены для установки и закрепления на бортах платформы с целью предохранения груза от воздействия атмосферных осадков.</w:t>
      </w:r>
    </w:p>
    <w:p w:rsidR="00950161" w:rsidRDefault="00950161" w:rsidP="00950161">
      <w:pPr>
        <w:numPr>
          <w:ilvl w:val="0"/>
          <w:numId w:val="4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Опорное колесо предназначено для обеспечения горизонтального положения прицепа и облегчения его перемещения после расцепки с тягачом.</w:t>
      </w:r>
    </w:p>
    <w:p w:rsidR="00863864" w:rsidRDefault="00950161" w:rsidP="00863864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Перед началом движения автопоезда опорное колесо прицепа должно быть поднято и закреплено в верхнем положении. В процессе движения автопоезда опорное колесо прицепа должно находиться в верхнем положении.</w:t>
      </w:r>
    </w:p>
    <w:p w:rsidR="002327F1" w:rsidRPr="00863864" w:rsidRDefault="002327F1" w:rsidP="00863864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Trebuchet MS" w:hAnsi="Trebuchet MS"/>
          <w:color w:val="111111"/>
          <w:sz w:val="35"/>
          <w:szCs w:val="35"/>
        </w:rPr>
        <w:t>Обкатка нового прицепа</w:t>
      </w:r>
    </w:p>
    <w:p w:rsidR="002327F1" w:rsidRDefault="002327F1" w:rsidP="002327F1">
      <w:pPr>
        <w:numPr>
          <w:ilvl w:val="0"/>
          <w:numId w:val="5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В период обкатки прицепа (первые 2000 км пробега) для приработки деталей и узлов необходимо:</w:t>
      </w:r>
    </w:p>
    <w:p w:rsidR="002327F1" w:rsidRDefault="002327F1" w:rsidP="002327F1">
      <w:pPr>
        <w:numPr>
          <w:ilvl w:val="0"/>
          <w:numId w:val="6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следить за состоянием всех креплений и производит!» затяжку ослабевших резьбовых соединений;</w:t>
      </w:r>
    </w:p>
    <w:p w:rsidR="002327F1" w:rsidRDefault="002327F1" w:rsidP="002327F1">
      <w:pPr>
        <w:numPr>
          <w:ilvl w:val="0"/>
          <w:numId w:val="6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следить за температурой ступиц, а при усиленном нагреве отрегулировать затяжку подшипников в соответствии с требованиями, изложенными в паспорте на ось.</w:t>
      </w:r>
    </w:p>
    <w:p w:rsidR="00863864" w:rsidRDefault="002327F1" w:rsidP="00863864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По окончании обкатки прицепа необходимо провести техническое обслуживание</w:t>
      </w:r>
    </w:p>
    <w:p w:rsidR="002327F1" w:rsidRPr="00863864" w:rsidRDefault="002327F1" w:rsidP="00863864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Trebuchet MS" w:hAnsi="Trebuchet MS"/>
          <w:color w:val="111111"/>
          <w:sz w:val="35"/>
          <w:szCs w:val="35"/>
        </w:rPr>
        <w:t>Сцепка прицепа с тягачом</w:t>
      </w:r>
    </w:p>
    <w:p w:rsidR="002327F1" w:rsidRDefault="002327F1" w:rsidP="002327F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Сцепку прицепа с тягачом необходимо производить в следующей последовательности:</w:t>
      </w:r>
    </w:p>
    <w:p w:rsidR="002327F1" w:rsidRDefault="002327F1" w:rsidP="002327F1">
      <w:pPr>
        <w:numPr>
          <w:ilvl w:val="0"/>
          <w:numId w:val="7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нажать кнопку на рукоятке сцепной головки;</w:t>
      </w:r>
    </w:p>
    <w:p w:rsidR="002327F1" w:rsidRDefault="002327F1" w:rsidP="002327F1">
      <w:pPr>
        <w:numPr>
          <w:ilvl w:val="0"/>
          <w:numId w:val="7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повернуть рукоятку сцепной головки вверх до упора;</w:t>
      </w:r>
    </w:p>
    <w:p w:rsidR="002327F1" w:rsidRDefault="002327F1" w:rsidP="002327F1">
      <w:pPr>
        <w:numPr>
          <w:ilvl w:val="0"/>
          <w:numId w:val="7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приподнять дышло прицепа и надеть сферическое гнездо сцепной головки на шаровой наконечник сцепного устройства;</w:t>
      </w:r>
    </w:p>
    <w:p w:rsidR="002327F1" w:rsidRDefault="002327F1" w:rsidP="002327F1">
      <w:pPr>
        <w:numPr>
          <w:ilvl w:val="0"/>
          <w:numId w:val="7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повернуть рукоятку сцепной головки вниз до упора, при этом кнопка должна вернуться в исходное положение;</w:t>
      </w:r>
    </w:p>
    <w:p w:rsidR="002327F1" w:rsidRDefault="002327F1" w:rsidP="002327F1">
      <w:pPr>
        <w:numPr>
          <w:ilvl w:val="0"/>
          <w:numId w:val="7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присоединить предохранительные цепи к автомобилю (правая цепь должна быть подсоединена к левому креплению, левая к правому, цепи под сцепной головкой должны перекрещиваться);</w:t>
      </w:r>
    </w:p>
    <w:p w:rsidR="002327F1" w:rsidRDefault="002327F1" w:rsidP="002327F1">
      <w:pPr>
        <w:numPr>
          <w:ilvl w:val="0"/>
          <w:numId w:val="7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подсоединить штепсельную вилку прицепа к розетке тягача;</w:t>
      </w:r>
    </w:p>
    <w:p w:rsidR="002327F1" w:rsidRDefault="002327F1" w:rsidP="002327F1">
      <w:pPr>
        <w:numPr>
          <w:ilvl w:val="0"/>
          <w:numId w:val="7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при наличии опорного колеса — перевести и зафиксировать его в верхнем положении.</w:t>
      </w:r>
    </w:p>
    <w:p w:rsidR="002327F1" w:rsidRDefault="002327F1" w:rsidP="002327F1">
      <w:pPr>
        <w:pStyle w:val="3"/>
        <w:shd w:val="clear" w:color="auto" w:fill="FFFFFF"/>
        <w:spacing w:before="335" w:after="251" w:line="352" w:lineRule="atLeast"/>
        <w:textAlignment w:val="baseline"/>
        <w:rPr>
          <w:rFonts w:ascii="Trebuchet MS" w:hAnsi="Trebuchet MS"/>
          <w:color w:val="111111"/>
          <w:sz w:val="35"/>
          <w:szCs w:val="35"/>
        </w:rPr>
      </w:pPr>
      <w:r>
        <w:rPr>
          <w:rFonts w:ascii="Trebuchet MS" w:hAnsi="Trebuchet MS"/>
          <w:color w:val="111111"/>
          <w:sz w:val="35"/>
          <w:szCs w:val="35"/>
        </w:rPr>
        <w:t>Порядок эксплуатации</w:t>
      </w:r>
    </w:p>
    <w:p w:rsidR="002327F1" w:rsidRDefault="002327F1" w:rsidP="002327F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От водителя автопоезда требуется повышенное внимание и осторожность, т.к. прицеп ограничивает проходимость и маневренность автопоезда.</w:t>
      </w:r>
    </w:p>
    <w:p w:rsidR="002327F1" w:rsidRDefault="00F470BC" w:rsidP="002327F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Ввиду отсутствия тормозов н</w:t>
      </w:r>
      <w:r w:rsidR="002327F1">
        <w:rPr>
          <w:rFonts w:ascii="Arial" w:hAnsi="Arial" w:cs="Arial"/>
          <w:color w:val="111111"/>
          <w:sz w:val="23"/>
          <w:szCs w:val="23"/>
        </w:rPr>
        <w:t>а прицепе, тормозной путь автопоезда больше, чем у одиночного автомобиля.</w:t>
      </w:r>
    </w:p>
    <w:p w:rsidR="002327F1" w:rsidRDefault="002327F1" w:rsidP="002327F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Во избежание заноса прицепа и «складывания» автопоезда следует избегать резких торможений на скользкой дороге, а при гололеде необходимо снизить скорость и соблюдать особую осторожность.</w:t>
      </w:r>
    </w:p>
    <w:p w:rsidR="002327F1" w:rsidRDefault="002327F1" w:rsidP="002327F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Для нормальной работы сцепного устройства груз необходимо размещать таким образом, чтобы передняя часть платформы была нагружена больше, чем задняя, при этом наг </w:t>
      </w:r>
      <w:proofErr w:type="spellStart"/>
      <w:r>
        <w:rPr>
          <w:rFonts w:ascii="Arial" w:hAnsi="Arial" w:cs="Arial"/>
          <w:color w:val="111111"/>
          <w:sz w:val="23"/>
          <w:szCs w:val="23"/>
        </w:rPr>
        <w:t>рузка</w:t>
      </w:r>
      <w:proofErr w:type="spellEnd"/>
      <w:r>
        <w:rPr>
          <w:rFonts w:ascii="Arial" w:hAnsi="Arial" w:cs="Arial"/>
          <w:color w:val="111111"/>
          <w:sz w:val="23"/>
          <w:szCs w:val="23"/>
        </w:rPr>
        <w:t xml:space="preserve"> на сцепное устр</w:t>
      </w:r>
      <w:r w:rsidR="00AE330F">
        <w:rPr>
          <w:rFonts w:ascii="Arial" w:hAnsi="Arial" w:cs="Arial"/>
          <w:color w:val="111111"/>
          <w:sz w:val="23"/>
          <w:szCs w:val="23"/>
        </w:rPr>
        <w:t>ойство не должна превышать 4</w:t>
      </w:r>
      <w:r>
        <w:rPr>
          <w:rFonts w:ascii="Arial" w:hAnsi="Arial" w:cs="Arial"/>
          <w:color w:val="111111"/>
          <w:sz w:val="23"/>
          <w:szCs w:val="23"/>
        </w:rPr>
        <w:t>0 кг.</w:t>
      </w:r>
    </w:p>
    <w:p w:rsidR="002327F1" w:rsidRDefault="002327F1" w:rsidP="002327F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Для исключения перемещения груза в платформе при движении его необходимо надежно закрепить. Груз должен быть равномерно распределен по полу платформы.</w:t>
      </w:r>
    </w:p>
    <w:p w:rsidR="002327F1" w:rsidRDefault="002327F1" w:rsidP="002327F1">
      <w:pPr>
        <w:pStyle w:val="a3"/>
        <w:shd w:val="clear" w:color="auto" w:fill="FFFFFF"/>
        <w:spacing w:before="0" w:beforeAutospacing="0" w:after="201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Перед каждым выездом необходимо проверить:</w:t>
      </w:r>
    </w:p>
    <w:p w:rsidR="002327F1" w:rsidRDefault="002327F1" w:rsidP="002327F1">
      <w:pPr>
        <w:numPr>
          <w:ilvl w:val="0"/>
          <w:numId w:val="8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надежность сцепки прицепа с тягачом и крепление предохранительных цепей;</w:t>
      </w:r>
    </w:p>
    <w:p w:rsidR="002327F1" w:rsidRDefault="002327F1" w:rsidP="002327F1">
      <w:pPr>
        <w:numPr>
          <w:ilvl w:val="0"/>
          <w:numId w:val="8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 xml:space="preserve">функционирование фонарей освещения регистрационного знака, габаритных огней, указателей поворота, стоп — сигнала, </w:t>
      </w:r>
      <w:proofErr w:type="spellStart"/>
      <w:r>
        <w:rPr>
          <w:rFonts w:ascii="inherit" w:hAnsi="inherit" w:cs="Arial"/>
          <w:color w:val="111111"/>
          <w:sz w:val="23"/>
          <w:szCs w:val="23"/>
        </w:rPr>
        <w:t>противотуманного</w:t>
      </w:r>
      <w:proofErr w:type="spellEnd"/>
      <w:r>
        <w:rPr>
          <w:rFonts w:ascii="inherit" w:hAnsi="inherit" w:cs="Arial"/>
          <w:color w:val="111111"/>
          <w:sz w:val="23"/>
          <w:szCs w:val="23"/>
        </w:rPr>
        <w:t xml:space="preserve"> фонаря на прицепе;</w:t>
      </w:r>
    </w:p>
    <w:p w:rsidR="002327F1" w:rsidRDefault="002327F1" w:rsidP="002327F1">
      <w:pPr>
        <w:numPr>
          <w:ilvl w:val="0"/>
          <w:numId w:val="8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крепление колес и давление в шинах.</w:t>
      </w:r>
    </w:p>
    <w:p w:rsidR="00863864" w:rsidRDefault="002327F1" w:rsidP="00863864">
      <w:pPr>
        <w:numPr>
          <w:ilvl w:val="0"/>
          <w:numId w:val="8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надежность крепления дышла с платформой и фиксацию поворотных рычагов фиксаторами к переднему фартуку (только у прицепов с одинарной осью).</w:t>
      </w:r>
    </w:p>
    <w:p w:rsidR="002327F1" w:rsidRPr="00863864" w:rsidRDefault="002327F1" w:rsidP="00863864">
      <w:pPr>
        <w:numPr>
          <w:ilvl w:val="0"/>
          <w:numId w:val="8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 w:rsidRPr="00863864">
        <w:rPr>
          <w:rFonts w:ascii="Trebuchet MS" w:hAnsi="Trebuchet MS"/>
          <w:color w:val="111111"/>
          <w:sz w:val="35"/>
          <w:szCs w:val="35"/>
        </w:rPr>
        <w:t>Смазка</w:t>
      </w:r>
    </w:p>
    <w:p w:rsidR="00863864" w:rsidRDefault="002327F1" w:rsidP="00863864">
      <w:pPr>
        <w:numPr>
          <w:ilvl w:val="0"/>
          <w:numId w:val="9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>
        <w:rPr>
          <w:rFonts w:ascii="inherit" w:hAnsi="inherit" w:cs="Arial"/>
          <w:color w:val="111111"/>
          <w:sz w:val="23"/>
          <w:szCs w:val="23"/>
        </w:rPr>
        <w:t>Для смазки узлов трения должна применяться смазка Литол-24 ГОСТ 21150-87. Детали сцепной головки следует смазывать по мере необходимости.</w:t>
      </w:r>
    </w:p>
    <w:p w:rsidR="002327F1" w:rsidRPr="00863864" w:rsidRDefault="002327F1" w:rsidP="00863864">
      <w:pPr>
        <w:numPr>
          <w:ilvl w:val="0"/>
          <w:numId w:val="9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hAnsi="inherit" w:cs="Arial"/>
          <w:color w:val="111111"/>
          <w:sz w:val="23"/>
          <w:szCs w:val="23"/>
        </w:rPr>
      </w:pPr>
      <w:r w:rsidRPr="00863864">
        <w:rPr>
          <w:rFonts w:ascii="Trebuchet MS" w:eastAsia="Times New Roman" w:hAnsi="Trebuchet MS" w:cs="Times New Roman"/>
          <w:b/>
          <w:bCs/>
          <w:color w:val="111111"/>
          <w:sz w:val="42"/>
          <w:szCs w:val="42"/>
        </w:rPr>
        <w:t>Гарантийные обязательства</w:t>
      </w:r>
    </w:p>
    <w:p w:rsidR="002327F1" w:rsidRPr="002327F1" w:rsidRDefault="002327F1" w:rsidP="002327F1">
      <w:pPr>
        <w:shd w:val="clear" w:color="auto" w:fill="FFFFFF"/>
        <w:spacing w:after="201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327F1">
        <w:rPr>
          <w:rFonts w:ascii="Arial" w:eastAsia="Times New Roman" w:hAnsi="Arial" w:cs="Arial"/>
          <w:color w:val="111111"/>
          <w:sz w:val="23"/>
          <w:szCs w:val="23"/>
        </w:rPr>
        <w:t>Изготовитель гарантирует соотве</w:t>
      </w:r>
      <w:r w:rsidR="00010FC2">
        <w:rPr>
          <w:rFonts w:ascii="Arial" w:eastAsia="Times New Roman" w:hAnsi="Arial" w:cs="Arial"/>
          <w:color w:val="111111"/>
          <w:sz w:val="23"/>
          <w:szCs w:val="23"/>
        </w:rPr>
        <w:t>тствие прицепа требованиям    ТУ</w:t>
      </w:r>
      <w:r w:rsidRPr="002327F1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="00010FC2">
        <w:rPr>
          <w:rFonts w:ascii="Arial" w:eastAsia="Times New Roman" w:hAnsi="Arial" w:cs="Arial"/>
          <w:color w:val="111111"/>
          <w:sz w:val="23"/>
          <w:szCs w:val="23"/>
          <w:lang w:val="en-US"/>
        </w:rPr>
        <w:t>RU</w:t>
      </w:r>
      <w:r w:rsidR="00010FC2">
        <w:rPr>
          <w:rFonts w:ascii="Arial" w:eastAsia="Times New Roman" w:hAnsi="Arial" w:cs="Arial"/>
          <w:color w:val="111111"/>
          <w:sz w:val="23"/>
          <w:szCs w:val="23"/>
        </w:rPr>
        <w:t xml:space="preserve"> 71820000010-2015</w:t>
      </w:r>
      <w:r w:rsidRPr="002327F1">
        <w:rPr>
          <w:rFonts w:ascii="Arial" w:eastAsia="Times New Roman" w:hAnsi="Arial" w:cs="Arial"/>
          <w:color w:val="111111"/>
          <w:sz w:val="23"/>
          <w:szCs w:val="23"/>
        </w:rPr>
        <w:t>, кроме шин, при соблюдении условий эксплуатации и хранения.</w:t>
      </w:r>
    </w:p>
    <w:p w:rsidR="002327F1" w:rsidRPr="002327F1" w:rsidRDefault="002327F1" w:rsidP="002327F1">
      <w:pPr>
        <w:shd w:val="clear" w:color="auto" w:fill="FFFFFF"/>
        <w:spacing w:after="201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327F1">
        <w:rPr>
          <w:rFonts w:ascii="Arial" w:eastAsia="Times New Roman" w:hAnsi="Arial" w:cs="Arial"/>
          <w:color w:val="111111"/>
          <w:sz w:val="23"/>
          <w:szCs w:val="23"/>
        </w:rPr>
        <w:t>Гарантийный срок эксплуатации двенадцать месяцев со дня продажи прицепа, указанного в Свидетельстве о продаже, но не более двух лег с даты изготовления прицепа, указанной в Свидетельстве о приемке, при условии наличия отметки о прохождении предпродажной подготовки и соблюдения эксплуатирующей стороной условий эксплуатации, хранения прицепа.</w:t>
      </w:r>
    </w:p>
    <w:p w:rsidR="002327F1" w:rsidRPr="002327F1" w:rsidRDefault="002327F1" w:rsidP="002327F1">
      <w:pPr>
        <w:shd w:val="clear" w:color="auto" w:fill="FFFFFF"/>
        <w:spacing w:after="201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327F1">
        <w:rPr>
          <w:rFonts w:ascii="Arial" w:eastAsia="Times New Roman" w:hAnsi="Arial" w:cs="Arial"/>
          <w:color w:val="111111"/>
          <w:sz w:val="23"/>
          <w:szCs w:val="23"/>
        </w:rPr>
        <w:t>Указанные гарантии не распространяются на случаи, когда дефекты прицепа возникли после передачи прицепа изготовителем третьим лицам вследствие:</w:t>
      </w:r>
    </w:p>
    <w:p w:rsidR="002327F1" w:rsidRPr="002327F1" w:rsidRDefault="002327F1" w:rsidP="002327F1">
      <w:pPr>
        <w:numPr>
          <w:ilvl w:val="0"/>
          <w:numId w:val="10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2327F1">
        <w:rPr>
          <w:rFonts w:ascii="inherit" w:eastAsia="Times New Roman" w:hAnsi="inherit" w:cs="Arial"/>
          <w:color w:val="111111"/>
          <w:sz w:val="23"/>
          <w:szCs w:val="23"/>
        </w:rPr>
        <w:t>нарушения третьими лицами правил хранения и эксплуатации прицепа или его повреждения при транспортировке;</w:t>
      </w:r>
    </w:p>
    <w:p w:rsidR="002327F1" w:rsidRPr="002327F1" w:rsidRDefault="002327F1" w:rsidP="002327F1">
      <w:pPr>
        <w:numPr>
          <w:ilvl w:val="0"/>
          <w:numId w:val="11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2327F1">
        <w:rPr>
          <w:rFonts w:ascii="inherit" w:eastAsia="Times New Roman" w:hAnsi="inherit" w:cs="Arial"/>
          <w:color w:val="111111"/>
          <w:sz w:val="23"/>
          <w:szCs w:val="23"/>
        </w:rPr>
        <w:t>дорожно-транспортного происшествия, ударов, царапин, попадания камней и других твердых предметов, града, действия третьих лиц;</w:t>
      </w:r>
    </w:p>
    <w:p w:rsidR="002327F1" w:rsidRPr="002327F1" w:rsidRDefault="002327F1" w:rsidP="002327F1">
      <w:pPr>
        <w:numPr>
          <w:ilvl w:val="0"/>
          <w:numId w:val="11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2327F1">
        <w:rPr>
          <w:rFonts w:ascii="inherit" w:eastAsia="Times New Roman" w:hAnsi="inherit" w:cs="Arial"/>
          <w:color w:val="111111"/>
          <w:sz w:val="23"/>
          <w:szCs w:val="23"/>
        </w:rPr>
        <w:t>повреждения защитного покрытия компонентов прицепа вследствие внешних воздействий, включая эрозионный износ и естественное истирание по местам контакта сопрягаемых деталей, возникшее в процессе эксплуатации;</w:t>
      </w:r>
    </w:p>
    <w:p w:rsidR="002327F1" w:rsidRPr="002327F1" w:rsidRDefault="002327F1" w:rsidP="002327F1">
      <w:pPr>
        <w:numPr>
          <w:ilvl w:val="0"/>
          <w:numId w:val="11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2327F1">
        <w:rPr>
          <w:rFonts w:ascii="inherit" w:eastAsia="Times New Roman" w:hAnsi="inherit" w:cs="Arial"/>
          <w:color w:val="111111"/>
          <w:sz w:val="23"/>
          <w:szCs w:val="23"/>
        </w:rPr>
        <w:t>воздействия химически активных веществ, в том числе применяемых для предотвращения замерзания поверхности дорог, веществ растительного происхождения и продуктов жизнедеятельности животных;</w:t>
      </w:r>
    </w:p>
    <w:p w:rsidR="002327F1" w:rsidRPr="002327F1" w:rsidRDefault="002327F1" w:rsidP="002327F1">
      <w:pPr>
        <w:numPr>
          <w:ilvl w:val="0"/>
          <w:numId w:val="11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2327F1">
        <w:rPr>
          <w:rFonts w:ascii="inherit" w:eastAsia="Times New Roman" w:hAnsi="inherit" w:cs="Arial"/>
          <w:color w:val="111111"/>
          <w:sz w:val="23"/>
          <w:szCs w:val="23"/>
        </w:rPr>
        <w:t>внесения третьим лицом изменений в конструкцию прицепа с нарушением требований нормативных актов и инструктивных документов уполномоченных органов;</w:t>
      </w:r>
    </w:p>
    <w:p w:rsidR="002327F1" w:rsidRPr="002327F1" w:rsidRDefault="002327F1" w:rsidP="002327F1">
      <w:pPr>
        <w:numPr>
          <w:ilvl w:val="0"/>
          <w:numId w:val="11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2327F1">
        <w:rPr>
          <w:rFonts w:ascii="inherit" w:eastAsia="Times New Roman" w:hAnsi="inherit" w:cs="Arial"/>
          <w:color w:val="111111"/>
          <w:sz w:val="23"/>
          <w:szCs w:val="23"/>
        </w:rPr>
        <w:t>действия иных лиц или непреодолимой силы.</w:t>
      </w:r>
    </w:p>
    <w:p w:rsidR="002327F1" w:rsidRPr="002327F1" w:rsidRDefault="002327F1" w:rsidP="002327F1">
      <w:pPr>
        <w:shd w:val="clear" w:color="auto" w:fill="FFFFFF"/>
        <w:spacing w:after="201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2327F1">
        <w:rPr>
          <w:rFonts w:ascii="Arial" w:eastAsia="Times New Roman" w:hAnsi="Arial" w:cs="Arial"/>
          <w:color w:val="111111"/>
          <w:sz w:val="23"/>
          <w:szCs w:val="23"/>
        </w:rPr>
        <w:t>Указанный порядок применяется в случае, если иное прямо не предусмотрено законодательством РФ или договором, согласно которому прицеп передан изготовителем либо собственнику — физическому (юридическому) лицу, либо продавцу прицепа.</w:t>
      </w:r>
    </w:p>
    <w:p w:rsidR="002327F1" w:rsidRPr="002327F1" w:rsidRDefault="002327F1" w:rsidP="002327F1">
      <w:pPr>
        <w:numPr>
          <w:ilvl w:val="0"/>
          <w:numId w:val="13"/>
        </w:numPr>
        <w:shd w:val="clear" w:color="auto" w:fill="FFFFFF"/>
        <w:spacing w:after="84" w:line="240" w:lineRule="auto"/>
        <w:ind w:left="335"/>
        <w:textAlignment w:val="baseline"/>
        <w:rPr>
          <w:rFonts w:ascii="inherit" w:eastAsia="Times New Roman" w:hAnsi="inherit" w:cs="Arial"/>
          <w:color w:val="111111"/>
          <w:sz w:val="23"/>
          <w:szCs w:val="23"/>
        </w:rPr>
      </w:pPr>
      <w:r w:rsidRPr="002327F1">
        <w:rPr>
          <w:rFonts w:ascii="inherit" w:eastAsia="Times New Roman" w:hAnsi="inherit" w:cs="Arial"/>
          <w:color w:val="111111"/>
          <w:sz w:val="23"/>
          <w:szCs w:val="23"/>
        </w:rPr>
        <w:t>В случае, если имело место ДТП, лицо, предъявляющее прицеп, одновременно предоставляет в распоряжение изготовителя документ, составленный при совершении ДТП согласно требованиям законодательства России</w:t>
      </w:r>
      <w:r w:rsidR="00863864">
        <w:rPr>
          <w:rFonts w:ascii="inherit" w:eastAsia="Times New Roman" w:hAnsi="inherit" w:cs="Arial"/>
          <w:color w:val="111111"/>
          <w:sz w:val="23"/>
          <w:szCs w:val="23"/>
        </w:rPr>
        <w:t>.</w:t>
      </w:r>
    </w:p>
    <w:sectPr w:rsidR="002327F1" w:rsidRPr="002327F1" w:rsidSect="00E51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35A"/>
    <w:multiLevelType w:val="multilevel"/>
    <w:tmpl w:val="D004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A27FC"/>
    <w:multiLevelType w:val="multilevel"/>
    <w:tmpl w:val="523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42C51"/>
    <w:multiLevelType w:val="multilevel"/>
    <w:tmpl w:val="C69E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31CBD"/>
    <w:multiLevelType w:val="multilevel"/>
    <w:tmpl w:val="6A7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31C1B"/>
    <w:multiLevelType w:val="multilevel"/>
    <w:tmpl w:val="E7A0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E4019"/>
    <w:multiLevelType w:val="multilevel"/>
    <w:tmpl w:val="938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D2E4F"/>
    <w:multiLevelType w:val="multilevel"/>
    <w:tmpl w:val="9EA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01AF8"/>
    <w:multiLevelType w:val="multilevel"/>
    <w:tmpl w:val="A5DC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31812"/>
    <w:multiLevelType w:val="multilevel"/>
    <w:tmpl w:val="343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14C66"/>
    <w:multiLevelType w:val="multilevel"/>
    <w:tmpl w:val="3DE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65907"/>
    <w:multiLevelType w:val="multilevel"/>
    <w:tmpl w:val="4CC6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83261"/>
    <w:multiLevelType w:val="multilevel"/>
    <w:tmpl w:val="C49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2108"/>
    <w:multiLevelType w:val="multilevel"/>
    <w:tmpl w:val="CAD0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3AA"/>
    <w:rsid w:val="00010FC2"/>
    <w:rsid w:val="0007280D"/>
    <w:rsid w:val="000941C4"/>
    <w:rsid w:val="001669DB"/>
    <w:rsid w:val="002327F1"/>
    <w:rsid w:val="00314EB5"/>
    <w:rsid w:val="00431D27"/>
    <w:rsid w:val="00454E7D"/>
    <w:rsid w:val="004B5C0D"/>
    <w:rsid w:val="004D6B61"/>
    <w:rsid w:val="005D4485"/>
    <w:rsid w:val="006F2218"/>
    <w:rsid w:val="00830459"/>
    <w:rsid w:val="00863864"/>
    <w:rsid w:val="008B449E"/>
    <w:rsid w:val="008D680D"/>
    <w:rsid w:val="008F4F5A"/>
    <w:rsid w:val="00950161"/>
    <w:rsid w:val="00982C40"/>
    <w:rsid w:val="009C3732"/>
    <w:rsid w:val="00AA3BF7"/>
    <w:rsid w:val="00AD0307"/>
    <w:rsid w:val="00AE330F"/>
    <w:rsid w:val="00C8586F"/>
    <w:rsid w:val="00CF62EF"/>
    <w:rsid w:val="00DF22A9"/>
    <w:rsid w:val="00E27DE7"/>
    <w:rsid w:val="00E513AA"/>
    <w:rsid w:val="00E836FF"/>
    <w:rsid w:val="00F40879"/>
    <w:rsid w:val="00F4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5"/>
  </w:style>
  <w:style w:type="paragraph" w:styleId="2">
    <w:name w:val="heading 2"/>
    <w:basedOn w:val="a"/>
    <w:link w:val="20"/>
    <w:uiPriority w:val="9"/>
    <w:qFormat/>
    <w:rsid w:val="00454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3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4E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F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22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4F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464">
          <w:blockQuote w:val="1"/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C8EC-FCBC-44C0-B810-34651A4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14</cp:revision>
  <cp:lastPrinted>2017-01-24T05:35:00Z</cp:lastPrinted>
  <dcterms:created xsi:type="dcterms:W3CDTF">2016-10-23T04:27:00Z</dcterms:created>
  <dcterms:modified xsi:type="dcterms:W3CDTF">2017-01-31T12:00:00Z</dcterms:modified>
</cp:coreProperties>
</file>